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5051" w:rsidRDefault="00C45051" w:rsidP="00AF0B87">
      <w:pPr>
        <w:jc w:val="both"/>
        <w:rPr>
          <w:rFonts w:ascii="Times New Roman" w:hAnsi="Times New Roman" w:cs="Times New Roman"/>
          <w:sz w:val="28"/>
          <w:szCs w:val="28"/>
        </w:rPr>
      </w:pPr>
      <w:proofErr w:type="spellStart"/>
      <w:r>
        <w:rPr>
          <w:rFonts w:ascii="Times New Roman" w:hAnsi="Times New Roman" w:cs="Times New Roman"/>
          <w:sz w:val="28"/>
          <w:szCs w:val="28"/>
        </w:rPr>
        <w:t>Аврунев</w:t>
      </w:r>
      <w:proofErr w:type="spellEnd"/>
      <w:r>
        <w:rPr>
          <w:rFonts w:ascii="Times New Roman" w:hAnsi="Times New Roman" w:cs="Times New Roman"/>
          <w:sz w:val="28"/>
          <w:szCs w:val="28"/>
        </w:rPr>
        <w:t xml:space="preserve"> Е.И.</w:t>
      </w:r>
    </w:p>
    <w:p w:rsidR="00AF0B87" w:rsidRDefault="00AF0B87" w:rsidP="00AF0B87">
      <w:pPr>
        <w:ind w:firstLine="567"/>
        <w:jc w:val="center"/>
        <w:rPr>
          <w:rFonts w:ascii="Times New Roman" w:hAnsi="Times New Roman" w:cs="Times New Roman"/>
          <w:sz w:val="28"/>
          <w:szCs w:val="28"/>
        </w:rPr>
      </w:pPr>
      <w:r>
        <w:rPr>
          <w:rFonts w:ascii="Times New Roman" w:hAnsi="Times New Roman" w:cs="Times New Roman"/>
          <w:sz w:val="28"/>
          <w:szCs w:val="28"/>
        </w:rPr>
        <w:t>ПР</w:t>
      </w:r>
      <w:r w:rsidR="003B7671" w:rsidRPr="00C45051">
        <w:rPr>
          <w:rFonts w:ascii="Times New Roman" w:hAnsi="Times New Roman" w:cs="Times New Roman"/>
          <w:sz w:val="28"/>
          <w:szCs w:val="28"/>
        </w:rPr>
        <w:t>ОЕКТИРОВАНИЕ И ПОСТРОЕНИЕ НА МЕСТНОСТИ ГОРОДСКИХ КАДАСТРОВЫХ СЕТЕЙ</w:t>
      </w:r>
    </w:p>
    <w:p w:rsidR="00AF0B87" w:rsidRDefault="003B767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Геодезической основой выполнения кадастровых работ в городах являются пункты городских кадастровых сетей (ГКС). Эти пункты являются исходными для определения координат межевых знаков, которые закрепляют границы структурных единиц государственного земельного кадастра. Координаты межевых знаков позволяют однозначно определить объект кадастра в заданной территориальной зоне, с необходимой точностью вычислить его площадь и, таким образом, создать налогооблагаемую базу. При построении ГКС на местности время существуют следующие условия для проектирования и требования к точности уравненных элементов:</w:t>
      </w:r>
    </w:p>
    <w:p w:rsidR="00AF0B87" w:rsidRDefault="003B767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sym w:font="Symbol" w:char="F0B7"/>
      </w:r>
      <w:r w:rsidRPr="00C45051">
        <w:rPr>
          <w:rFonts w:ascii="Times New Roman" w:hAnsi="Times New Roman" w:cs="Times New Roman"/>
          <w:sz w:val="28"/>
          <w:szCs w:val="28"/>
        </w:rPr>
        <w:t xml:space="preserve"> ГКС должна быть запроектирована таким образом, чтобы с ее пунктов была возможность определить координаты всех межевых знаков, закрепляющих границы структурных единиц Государственного земельного кадастра;</w:t>
      </w:r>
    </w:p>
    <w:p w:rsidR="00213726" w:rsidRDefault="003B767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w:t>
      </w:r>
      <w:r w:rsidRPr="00C45051">
        <w:rPr>
          <w:rFonts w:ascii="Times New Roman" w:hAnsi="Times New Roman" w:cs="Times New Roman"/>
          <w:sz w:val="28"/>
          <w:szCs w:val="28"/>
        </w:rPr>
        <w:sym w:font="Symbol" w:char="F0B7"/>
      </w:r>
      <w:r w:rsidRPr="00C45051">
        <w:rPr>
          <w:rFonts w:ascii="Times New Roman" w:hAnsi="Times New Roman" w:cs="Times New Roman"/>
          <w:sz w:val="28"/>
          <w:szCs w:val="28"/>
        </w:rPr>
        <w:t xml:space="preserve"> СКО взаимного положения смежных пунктов ГКС в наиболее слабом месте сети не должна превышать 5</w:t>
      </w:r>
      <w:r w:rsidR="006B6637">
        <w:rPr>
          <w:rFonts w:ascii="Times New Roman" w:hAnsi="Times New Roman" w:cs="Times New Roman"/>
          <w:sz w:val="28"/>
          <w:szCs w:val="28"/>
        </w:rPr>
        <w:t xml:space="preserve"> </w:t>
      </w:r>
      <w:r w:rsidRPr="00C45051">
        <w:rPr>
          <w:rFonts w:ascii="Times New Roman" w:hAnsi="Times New Roman" w:cs="Times New Roman"/>
          <w:sz w:val="28"/>
          <w:szCs w:val="28"/>
        </w:rPr>
        <w:t xml:space="preserve">см; </w:t>
      </w:r>
    </w:p>
    <w:p w:rsidR="00213726" w:rsidRDefault="003B767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sym w:font="Symbol" w:char="F0B7"/>
      </w:r>
      <w:r w:rsidRPr="00C45051">
        <w:rPr>
          <w:rFonts w:ascii="Times New Roman" w:hAnsi="Times New Roman" w:cs="Times New Roman"/>
          <w:sz w:val="28"/>
          <w:szCs w:val="28"/>
        </w:rPr>
        <w:t xml:space="preserve"> СКО определения координат межевых знаков относительно исходных пунктов ГКС не должна превышать 10</w:t>
      </w:r>
      <w:r w:rsidR="006B6637">
        <w:rPr>
          <w:rFonts w:ascii="Times New Roman" w:hAnsi="Times New Roman" w:cs="Times New Roman"/>
          <w:sz w:val="28"/>
          <w:szCs w:val="28"/>
        </w:rPr>
        <w:t xml:space="preserve"> </w:t>
      </w:r>
      <w:r w:rsidRPr="00C45051">
        <w:rPr>
          <w:rFonts w:ascii="Times New Roman" w:hAnsi="Times New Roman" w:cs="Times New Roman"/>
          <w:sz w:val="28"/>
          <w:szCs w:val="28"/>
        </w:rPr>
        <w:t xml:space="preserve">см; </w:t>
      </w:r>
    </w:p>
    <w:p w:rsidR="00AF0B87" w:rsidRDefault="003B767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sym w:font="Symbol" w:char="F0B7"/>
      </w:r>
      <w:r w:rsidRPr="00C45051">
        <w:rPr>
          <w:rFonts w:ascii="Times New Roman" w:hAnsi="Times New Roman" w:cs="Times New Roman"/>
          <w:sz w:val="28"/>
          <w:szCs w:val="28"/>
        </w:rPr>
        <w:t xml:space="preserve"> Точность определения площадей земельных участков в относительной мере должна быть не грубее MP/P=1:3000. При этом значение площади должно вычисляться до 0.1</w:t>
      </w:r>
      <w:r w:rsidR="00213726">
        <w:rPr>
          <w:rFonts w:ascii="Times New Roman" w:hAnsi="Times New Roman" w:cs="Times New Roman"/>
          <w:sz w:val="28"/>
          <w:szCs w:val="28"/>
        </w:rPr>
        <w:t xml:space="preserve"> </w:t>
      </w:r>
      <w:r w:rsidRPr="00C45051">
        <w:rPr>
          <w:rFonts w:ascii="Times New Roman" w:hAnsi="Times New Roman" w:cs="Times New Roman"/>
          <w:sz w:val="28"/>
          <w:szCs w:val="28"/>
        </w:rPr>
        <w:t xml:space="preserve">м2. </w:t>
      </w:r>
    </w:p>
    <w:p w:rsidR="006B6637" w:rsidRDefault="006B6637" w:rsidP="00AF0B87">
      <w:pPr>
        <w:jc w:val="both"/>
        <w:rPr>
          <w:rFonts w:ascii="Times New Roman" w:hAnsi="Times New Roman" w:cs="Times New Roman"/>
          <w:sz w:val="28"/>
          <w:szCs w:val="28"/>
        </w:rPr>
      </w:pPr>
    </w:p>
    <w:p w:rsidR="00AF0B87" w:rsidRDefault="00C45051" w:rsidP="00AF0B87">
      <w:pPr>
        <w:jc w:val="both"/>
        <w:rPr>
          <w:rFonts w:ascii="Times New Roman" w:hAnsi="Times New Roman" w:cs="Times New Roman"/>
          <w:sz w:val="28"/>
          <w:szCs w:val="28"/>
        </w:rPr>
      </w:pPr>
      <w:proofErr w:type="spellStart"/>
      <w:r w:rsidRPr="00C45051">
        <w:rPr>
          <w:rFonts w:ascii="Times New Roman" w:hAnsi="Times New Roman" w:cs="Times New Roman"/>
          <w:sz w:val="28"/>
          <w:szCs w:val="28"/>
        </w:rPr>
        <w:t>Коротеева</w:t>
      </w:r>
      <w:proofErr w:type="spellEnd"/>
      <w:r w:rsidRPr="00C45051">
        <w:rPr>
          <w:rFonts w:ascii="Times New Roman" w:hAnsi="Times New Roman" w:cs="Times New Roman"/>
          <w:sz w:val="28"/>
          <w:szCs w:val="28"/>
        </w:rPr>
        <w:t xml:space="preserve"> Л.И. </w:t>
      </w:r>
    </w:p>
    <w:p w:rsidR="00AF0B87" w:rsidRDefault="00C45051" w:rsidP="00AF0B87">
      <w:pPr>
        <w:jc w:val="center"/>
        <w:rPr>
          <w:rFonts w:ascii="Times New Roman" w:hAnsi="Times New Roman" w:cs="Times New Roman"/>
          <w:sz w:val="28"/>
          <w:szCs w:val="28"/>
        </w:rPr>
      </w:pPr>
      <w:r w:rsidRPr="00C45051">
        <w:rPr>
          <w:rFonts w:ascii="Times New Roman" w:hAnsi="Times New Roman" w:cs="Times New Roman"/>
          <w:sz w:val="28"/>
          <w:szCs w:val="28"/>
        </w:rPr>
        <w:t xml:space="preserve">ЗЕМЕЛЬНО-КАДАСТРОВЫЕ РАБОТЫ НА ЗАСТРОЕННЫХ ТЕРРИТОРИЯХ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Для выполнения кадастрового зонирования на планово-картографическом материале и веления текущего учета создается серия дежурных кадастровых карт и планов. Дежурная кадастровая карта района (города) предназначена для отображения на ней границ кварталов с их нумерацией, начиная с единицы.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Дежурная кадастровая карта квартала предназначена для отображения на ней границ земельных участков с их нумерацией, начиная с единицы. Кадастровый план объектов кадастрового учета (земельные участки и территориальные зоны) является фрагментом дежурной кадастровой карты </w:t>
      </w:r>
      <w:r w:rsidRPr="00C45051">
        <w:rPr>
          <w:rFonts w:ascii="Times New Roman" w:hAnsi="Times New Roman" w:cs="Times New Roman"/>
          <w:sz w:val="28"/>
          <w:szCs w:val="28"/>
        </w:rPr>
        <w:lastRenderedPageBreak/>
        <w:t>(плана) территории населенного пункта с отображением объекта учета. Так как кадастровые карты и планы представляют собой графическое отображение юридических описаний земельных участков, то они требуют обязательного подобного изображения в заданном масштабе основных структурных элементов территории: границы города или иного населенного пункта, гидрография, дорожная сеть, границы кварталов и земельных участков.</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В настоящее время наиболее изученным видом кадастровых работ в городе являются кадастровые работы, обеспечивающие формирование различных форм собственности на земельные участки и объекты недвижимости, реализацию платного землепользования и т.д. К таким работам относятся: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создание кадастровой геодезической сети;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вынос в натуру проекта городской черты;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структуризация территории города;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инвентаризация земель;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отвод земель и закрепление их границ на местности;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установление границ землепользований в существующей застройке города;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кадастровая съемка; ♦ качественная и экономическая оценка городских земель;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формирование земельной собственности.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В составе земельно-кадастровых работ особое место занимают: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работы по созданию надежной кадастровой геодезической сети, непрерывно поддерживаемой в рабочем состоянии;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вынос проекта городской черты, который заключается в установлении на местности точного положения границ города и закреплении поворотных точек границ меж</w:t>
      </w:r>
      <w:r w:rsidR="00EC0265">
        <w:rPr>
          <w:rFonts w:ascii="Times New Roman" w:hAnsi="Times New Roman" w:cs="Times New Roman"/>
          <w:sz w:val="28"/>
          <w:szCs w:val="28"/>
        </w:rPr>
        <w:t xml:space="preserve">евыми знаками.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Городская черта (черта поселков и сельских поселений) </w:t>
      </w:r>
      <w:r w:rsidR="00EC0265">
        <w:rPr>
          <w:rFonts w:ascii="Times New Roman" w:hAnsi="Times New Roman" w:cs="Times New Roman"/>
          <w:sz w:val="28"/>
          <w:szCs w:val="28"/>
        </w:rPr>
        <w:t>-</w:t>
      </w:r>
      <w:r w:rsidRPr="00C45051">
        <w:rPr>
          <w:rFonts w:ascii="Times New Roman" w:hAnsi="Times New Roman" w:cs="Times New Roman"/>
          <w:sz w:val="28"/>
          <w:szCs w:val="28"/>
        </w:rPr>
        <w:t xml:space="preserve"> это внешняя граница земель города (поселка, сельского поселения), которая отделяет их от иных категорий земель. Вынос</w:t>
      </w:r>
      <w:r w:rsidR="00EC0265">
        <w:rPr>
          <w:rFonts w:ascii="Times New Roman" w:hAnsi="Times New Roman" w:cs="Times New Roman"/>
          <w:sz w:val="28"/>
          <w:szCs w:val="28"/>
        </w:rPr>
        <w:t xml:space="preserve"> в натуру</w:t>
      </w:r>
      <w:r w:rsidRPr="00C45051">
        <w:rPr>
          <w:rFonts w:ascii="Times New Roman" w:hAnsi="Times New Roman" w:cs="Times New Roman"/>
          <w:sz w:val="28"/>
          <w:szCs w:val="28"/>
        </w:rPr>
        <w:t xml:space="preserve"> границ города, как правило, осуществляется на основе «Проекта городской черты» (проекта черты города) или по данным Генерального плана.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Вынос </w:t>
      </w:r>
      <w:r w:rsidR="00EC0265">
        <w:rPr>
          <w:rFonts w:ascii="Times New Roman" w:hAnsi="Times New Roman" w:cs="Times New Roman"/>
          <w:sz w:val="28"/>
          <w:szCs w:val="28"/>
        </w:rPr>
        <w:t>в натуру</w:t>
      </w:r>
      <w:r w:rsidRPr="00C45051">
        <w:rPr>
          <w:rFonts w:ascii="Times New Roman" w:hAnsi="Times New Roman" w:cs="Times New Roman"/>
          <w:sz w:val="28"/>
          <w:szCs w:val="28"/>
        </w:rPr>
        <w:t xml:space="preserve"> городской черты состоит из следующих этапов: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1) изучения «Проекта городской черты* или Генплана;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lastRenderedPageBreak/>
        <w:t xml:space="preserve">2) сбора данных о геодезической изученности города;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3) полевого обследования и оценки состояния геодезических пунктов;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4) составления разбивочного чертежа;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5) разбивочных работ;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6) установки межевых знаков;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7) определения координат межевых знаков;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8) составления плана границ города;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9) контроля и приемки работ;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10) составления технического отчета о выполненных работах.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Из</w:t>
      </w:r>
      <w:r w:rsidR="00EC0265">
        <w:rPr>
          <w:rFonts w:ascii="Times New Roman" w:hAnsi="Times New Roman" w:cs="Times New Roman"/>
          <w:sz w:val="28"/>
          <w:szCs w:val="28"/>
        </w:rPr>
        <w:t>учение «Проекта городской черты</w:t>
      </w:r>
      <w:r w:rsidRPr="00C45051">
        <w:rPr>
          <w:rFonts w:ascii="Times New Roman" w:hAnsi="Times New Roman" w:cs="Times New Roman"/>
          <w:sz w:val="28"/>
          <w:szCs w:val="28"/>
        </w:rPr>
        <w:t xml:space="preserve"> или Генплана заключается в ознакомлении с содержанием пояснительной записки, планом городской черты, списком координат межевых знаков и описанием их местоположения. По результатам анализа материалов и их оценки делается вывод о достаточности информации для выноса и закрепления границ на местности. Полевое обследование пунктов геодезической сети производится с целью проверки их сохранности. Местоположение пункта определяется по наружному знаку, а оценка его сохранности </w:t>
      </w:r>
      <w:r w:rsidR="00EC0265">
        <w:rPr>
          <w:rFonts w:ascii="Times New Roman" w:hAnsi="Times New Roman" w:cs="Times New Roman"/>
          <w:sz w:val="28"/>
          <w:szCs w:val="28"/>
        </w:rPr>
        <w:t xml:space="preserve">- </w:t>
      </w:r>
      <w:r w:rsidRPr="00C45051">
        <w:rPr>
          <w:rFonts w:ascii="Times New Roman" w:hAnsi="Times New Roman" w:cs="Times New Roman"/>
          <w:sz w:val="28"/>
          <w:szCs w:val="28"/>
        </w:rPr>
        <w:t xml:space="preserve">по центру. </w:t>
      </w:r>
    </w:p>
    <w:p w:rsidR="00EC0265"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Для вынесения на местности утвержденных «Проектов границ города» (городской черты) составляется разбивочный чертеж. Разбивочный </w:t>
      </w:r>
      <w:r w:rsidR="00EC0265">
        <w:rPr>
          <w:rFonts w:ascii="Times New Roman" w:hAnsi="Times New Roman" w:cs="Times New Roman"/>
          <w:sz w:val="28"/>
          <w:szCs w:val="28"/>
        </w:rPr>
        <w:t xml:space="preserve">чертеж составляется на бумаге </w:t>
      </w:r>
      <w:r w:rsidRPr="00C45051">
        <w:rPr>
          <w:rFonts w:ascii="Times New Roman" w:hAnsi="Times New Roman" w:cs="Times New Roman"/>
          <w:sz w:val="28"/>
          <w:szCs w:val="28"/>
        </w:rPr>
        <w:t xml:space="preserve">такого размера, который позволяет свободно и четко разместить: </w:t>
      </w:r>
    </w:p>
    <w:p w:rsidR="00EC0265" w:rsidRDefault="00BE752D" w:rsidP="00AF0B87">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C45051" w:rsidRPr="00C45051">
        <w:rPr>
          <w:rFonts w:ascii="Times New Roman" w:hAnsi="Times New Roman" w:cs="Times New Roman"/>
          <w:sz w:val="28"/>
          <w:szCs w:val="28"/>
        </w:rPr>
        <w:t xml:space="preserve">подписи названий исходных геодезических пунктов; </w:t>
      </w:r>
    </w:p>
    <w:p w:rsidR="00BE752D" w:rsidRDefault="00BE752D" w:rsidP="00AF0B87">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C45051" w:rsidRPr="00C45051">
        <w:rPr>
          <w:rFonts w:ascii="Times New Roman" w:hAnsi="Times New Roman" w:cs="Times New Roman"/>
          <w:sz w:val="28"/>
          <w:szCs w:val="28"/>
        </w:rPr>
        <w:t xml:space="preserve">номера проектных точек границ города, подлежащих выносу в натуру и закреплению межевыми знаками; значения разбивочных элементов, условные обозначения и экспликацию.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Границы проекта выносят геодезическими методами, которые обеспечивают точность взаимного положения поворотных точек не ниже </w:t>
      </w:r>
      <w:r w:rsidR="00BE752D">
        <w:rPr>
          <w:rFonts w:ascii="Times New Roman" w:hAnsi="Times New Roman" w:cs="Times New Roman"/>
          <w:sz w:val="28"/>
          <w:szCs w:val="28"/>
        </w:rPr>
        <w:t xml:space="preserve">      </w:t>
      </w:r>
      <w:r w:rsidRPr="00C45051">
        <w:rPr>
          <w:rFonts w:ascii="Times New Roman" w:hAnsi="Times New Roman" w:cs="Times New Roman"/>
          <w:sz w:val="28"/>
          <w:szCs w:val="28"/>
        </w:rPr>
        <w:t xml:space="preserve">1:5 000. Городскую черту закрепляют на местности постоянными знаками (межевыми столбами) через в пределах прямой видимости (приложение 1).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На разбивочном чертеже указывают измеренные дирекционные направления, а под ними расстояние (в метрах).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Работы по установлению (восстановлению) городской черты проводятся в процессе инвентаризации материалов, относимых к содержанию кадастра. При необходимости ход этой работы может контролировать рабочая комиссия путем полевого обследования, измерениями на местности и т.п. Результаты </w:t>
      </w:r>
      <w:r w:rsidRPr="00C45051">
        <w:rPr>
          <w:rFonts w:ascii="Times New Roman" w:hAnsi="Times New Roman" w:cs="Times New Roman"/>
          <w:sz w:val="28"/>
          <w:szCs w:val="28"/>
        </w:rPr>
        <w:lastRenderedPageBreak/>
        <w:t xml:space="preserve">контроля заносят в акт инвентаризации.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После выполнения </w:t>
      </w:r>
      <w:r w:rsidR="00BE752D">
        <w:rPr>
          <w:rFonts w:ascii="Times New Roman" w:hAnsi="Times New Roman" w:cs="Times New Roman"/>
          <w:sz w:val="28"/>
          <w:szCs w:val="28"/>
        </w:rPr>
        <w:t>работ по выносу в натуру</w:t>
      </w:r>
      <w:r w:rsidRPr="00C45051">
        <w:rPr>
          <w:rFonts w:ascii="Times New Roman" w:hAnsi="Times New Roman" w:cs="Times New Roman"/>
          <w:sz w:val="28"/>
          <w:szCs w:val="28"/>
        </w:rPr>
        <w:t xml:space="preserve"> границ города и их закреплению межевыми знаками составляется технический отчет.</w:t>
      </w:r>
    </w:p>
    <w:p w:rsidR="00BE752D" w:rsidRDefault="00BE752D" w:rsidP="00AF0B87">
      <w:pPr>
        <w:ind w:firstLine="567"/>
        <w:jc w:val="both"/>
        <w:rPr>
          <w:rFonts w:ascii="Times New Roman" w:hAnsi="Times New Roman" w:cs="Times New Roman"/>
          <w:sz w:val="28"/>
          <w:szCs w:val="28"/>
        </w:rPr>
      </w:pPr>
      <w:r>
        <w:rPr>
          <w:rFonts w:ascii="Times New Roman" w:hAnsi="Times New Roman" w:cs="Times New Roman"/>
          <w:sz w:val="28"/>
          <w:szCs w:val="28"/>
        </w:rPr>
        <w:t xml:space="preserve">Технический отчет содержит </w:t>
      </w:r>
      <w:r w:rsidR="00C45051" w:rsidRPr="00C45051">
        <w:rPr>
          <w:rFonts w:ascii="Times New Roman" w:hAnsi="Times New Roman" w:cs="Times New Roman"/>
          <w:sz w:val="28"/>
          <w:szCs w:val="28"/>
        </w:rPr>
        <w:t xml:space="preserve">пояснительную записку, план границ города, каталог координат межевых знаков.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Особое внимание в отчете уделяется: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геодезической изученности района работ;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результатам анализа и оценки состояния геодезических пунктов, их технических характеристик;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расчетам разбивочных элементов и составлению разбивочного чертежа; ♦ обоснованию выбора способов выполнения разбивочных работ;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техническим характеристикам применяемых средств;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анализу полученных результатов измерений и оценке их точности.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К пояснительной записке прилагаются: разбивочный чертеж, абрисы местоположения межевых знаков, ведомости вычисления разбивочных элементов, ведомости уравнения угловых и линейных измерений, копии актов о сдаче межевых знаков на хранение, копия акта сдачи-приемки работ по выносу в натуру проекта границ города и передачи исполнительной документации (журналов, рабочих материалов).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План границ города и каталог координат межевых знаков прилагается к техническому отчету в виде отдельных приложений.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План границ города составляется в масштабе: </w:t>
      </w:r>
    </w:p>
    <w:p w:rsidR="00BE752D"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xml:space="preserve">♦ 1:50 000 — для крупнейших городов; </w:t>
      </w:r>
      <w:bookmarkStart w:id="0" w:name="_GoBack"/>
      <w:bookmarkEnd w:id="0"/>
    </w:p>
    <w:p w:rsidR="003B7671" w:rsidRPr="00C45051" w:rsidRDefault="00C45051" w:rsidP="00AF0B87">
      <w:pPr>
        <w:ind w:firstLine="567"/>
        <w:jc w:val="both"/>
        <w:rPr>
          <w:rFonts w:ascii="Times New Roman" w:hAnsi="Times New Roman" w:cs="Times New Roman"/>
          <w:sz w:val="28"/>
          <w:szCs w:val="28"/>
        </w:rPr>
      </w:pPr>
      <w:r w:rsidRPr="00C45051">
        <w:rPr>
          <w:rFonts w:ascii="Times New Roman" w:hAnsi="Times New Roman" w:cs="Times New Roman"/>
          <w:sz w:val="28"/>
          <w:szCs w:val="28"/>
        </w:rPr>
        <w:t>♦ 1:25 000 — 1:10 000 — для городов площадью 100 — 50 км2. Для городов площадью менее 50 км2 проект границ города может разрабатываться на планах более крупных масштабов.</w:t>
      </w:r>
    </w:p>
    <w:sectPr w:rsidR="003B7671" w:rsidRPr="00C450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12341C"/>
    <w:multiLevelType w:val="multilevel"/>
    <w:tmpl w:val="89502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58C"/>
    <w:rsid w:val="000D24FA"/>
    <w:rsid w:val="001A18EA"/>
    <w:rsid w:val="001A3664"/>
    <w:rsid w:val="001C0CE9"/>
    <w:rsid w:val="00213726"/>
    <w:rsid w:val="002D4AD6"/>
    <w:rsid w:val="00395482"/>
    <w:rsid w:val="003B7671"/>
    <w:rsid w:val="004F6008"/>
    <w:rsid w:val="005479B8"/>
    <w:rsid w:val="0057750C"/>
    <w:rsid w:val="00607404"/>
    <w:rsid w:val="00614659"/>
    <w:rsid w:val="0064259F"/>
    <w:rsid w:val="006B6637"/>
    <w:rsid w:val="0072358C"/>
    <w:rsid w:val="007E5433"/>
    <w:rsid w:val="00975E6B"/>
    <w:rsid w:val="00A43889"/>
    <w:rsid w:val="00AD3463"/>
    <w:rsid w:val="00AF0B87"/>
    <w:rsid w:val="00BE752D"/>
    <w:rsid w:val="00C45051"/>
    <w:rsid w:val="00C706B1"/>
    <w:rsid w:val="00D91DA8"/>
    <w:rsid w:val="00EC0265"/>
    <w:rsid w:val="00FA7F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EF3A0"/>
  <w15:chartTrackingRefBased/>
  <w15:docId w15:val="{308F4EB6-0C8A-44DA-9B3A-7CFF68DEC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D24F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5106552">
      <w:bodyDiv w:val="1"/>
      <w:marLeft w:val="0"/>
      <w:marRight w:val="0"/>
      <w:marTop w:val="0"/>
      <w:marBottom w:val="0"/>
      <w:divBdr>
        <w:top w:val="none" w:sz="0" w:space="0" w:color="auto"/>
        <w:left w:val="none" w:sz="0" w:space="0" w:color="auto"/>
        <w:bottom w:val="none" w:sz="0" w:space="0" w:color="auto"/>
        <w:right w:val="none" w:sz="0" w:space="0" w:color="auto"/>
      </w:divBdr>
    </w:div>
    <w:div w:id="888497234">
      <w:bodyDiv w:val="1"/>
      <w:marLeft w:val="0"/>
      <w:marRight w:val="0"/>
      <w:marTop w:val="0"/>
      <w:marBottom w:val="0"/>
      <w:divBdr>
        <w:top w:val="none" w:sz="0" w:space="0" w:color="auto"/>
        <w:left w:val="none" w:sz="0" w:space="0" w:color="auto"/>
        <w:bottom w:val="none" w:sz="0" w:space="0" w:color="auto"/>
        <w:right w:val="none" w:sz="0" w:space="0" w:color="auto"/>
      </w:divBdr>
      <w:divsChild>
        <w:div w:id="1968508161">
          <w:marLeft w:val="0"/>
          <w:marRight w:val="0"/>
          <w:marTop w:val="0"/>
          <w:marBottom w:val="0"/>
          <w:divBdr>
            <w:top w:val="none" w:sz="0" w:space="0" w:color="auto"/>
            <w:left w:val="none" w:sz="0" w:space="0" w:color="auto"/>
            <w:bottom w:val="none" w:sz="0" w:space="0" w:color="auto"/>
            <w:right w:val="none" w:sz="0" w:space="0" w:color="auto"/>
          </w:divBdr>
          <w:divsChild>
            <w:div w:id="769667655">
              <w:marLeft w:val="0"/>
              <w:marRight w:val="0"/>
              <w:marTop w:val="0"/>
              <w:marBottom w:val="0"/>
              <w:divBdr>
                <w:top w:val="none" w:sz="0" w:space="0" w:color="auto"/>
                <w:left w:val="none" w:sz="0" w:space="0" w:color="auto"/>
                <w:bottom w:val="none" w:sz="0" w:space="0" w:color="auto"/>
                <w:right w:val="none" w:sz="0" w:space="0" w:color="auto"/>
              </w:divBdr>
              <w:divsChild>
                <w:div w:id="997735249">
                  <w:marLeft w:val="0"/>
                  <w:marRight w:val="0"/>
                  <w:marTop w:val="0"/>
                  <w:marBottom w:val="0"/>
                  <w:divBdr>
                    <w:top w:val="none" w:sz="0" w:space="0" w:color="auto"/>
                    <w:left w:val="none" w:sz="0" w:space="0" w:color="auto"/>
                    <w:bottom w:val="none" w:sz="0" w:space="0" w:color="auto"/>
                    <w:right w:val="none" w:sz="0" w:space="0" w:color="auto"/>
                  </w:divBdr>
                  <w:divsChild>
                    <w:div w:id="140595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08709">
              <w:marLeft w:val="0"/>
              <w:marRight w:val="0"/>
              <w:marTop w:val="0"/>
              <w:marBottom w:val="0"/>
              <w:divBdr>
                <w:top w:val="none" w:sz="0" w:space="0" w:color="auto"/>
                <w:left w:val="none" w:sz="0" w:space="0" w:color="auto"/>
                <w:bottom w:val="none" w:sz="0" w:space="0" w:color="auto"/>
                <w:right w:val="none" w:sz="0" w:space="0" w:color="auto"/>
              </w:divBdr>
              <w:divsChild>
                <w:div w:id="118377229">
                  <w:marLeft w:val="0"/>
                  <w:marRight w:val="0"/>
                  <w:marTop w:val="0"/>
                  <w:marBottom w:val="0"/>
                  <w:divBdr>
                    <w:top w:val="none" w:sz="0" w:space="0" w:color="auto"/>
                    <w:left w:val="none" w:sz="0" w:space="0" w:color="auto"/>
                    <w:bottom w:val="none" w:sz="0" w:space="0" w:color="auto"/>
                    <w:right w:val="none" w:sz="0" w:space="0" w:color="auto"/>
                  </w:divBdr>
                  <w:divsChild>
                    <w:div w:id="1800606288">
                      <w:marLeft w:val="0"/>
                      <w:marRight w:val="0"/>
                      <w:marTop w:val="0"/>
                      <w:marBottom w:val="0"/>
                      <w:divBdr>
                        <w:top w:val="none" w:sz="0" w:space="0" w:color="auto"/>
                        <w:left w:val="none" w:sz="0" w:space="0" w:color="auto"/>
                        <w:bottom w:val="none" w:sz="0" w:space="0" w:color="auto"/>
                        <w:right w:val="none" w:sz="0" w:space="0" w:color="auto"/>
                      </w:divBdr>
                      <w:divsChild>
                        <w:div w:id="1089933545">
                          <w:marLeft w:val="0"/>
                          <w:marRight w:val="0"/>
                          <w:marTop w:val="0"/>
                          <w:marBottom w:val="0"/>
                          <w:divBdr>
                            <w:top w:val="none" w:sz="0" w:space="0" w:color="auto"/>
                            <w:left w:val="none" w:sz="0" w:space="0" w:color="auto"/>
                            <w:bottom w:val="none" w:sz="0" w:space="0" w:color="auto"/>
                            <w:right w:val="none" w:sz="0" w:space="0" w:color="auto"/>
                          </w:divBdr>
                        </w:div>
                        <w:div w:id="1194462995">
                          <w:marLeft w:val="0"/>
                          <w:marRight w:val="0"/>
                          <w:marTop w:val="0"/>
                          <w:marBottom w:val="0"/>
                          <w:divBdr>
                            <w:top w:val="none" w:sz="0" w:space="0" w:color="auto"/>
                            <w:left w:val="none" w:sz="0" w:space="0" w:color="auto"/>
                            <w:bottom w:val="none" w:sz="0" w:space="0" w:color="auto"/>
                            <w:right w:val="none" w:sz="0" w:space="0" w:color="auto"/>
                          </w:divBdr>
                          <w:divsChild>
                            <w:div w:id="109323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7535358">
              <w:marLeft w:val="0"/>
              <w:marRight w:val="0"/>
              <w:marTop w:val="0"/>
              <w:marBottom w:val="0"/>
              <w:divBdr>
                <w:top w:val="none" w:sz="0" w:space="0" w:color="auto"/>
                <w:left w:val="none" w:sz="0" w:space="0" w:color="auto"/>
                <w:bottom w:val="none" w:sz="0" w:space="0" w:color="auto"/>
                <w:right w:val="none" w:sz="0" w:space="0" w:color="auto"/>
              </w:divBdr>
            </w:div>
          </w:divsChild>
        </w:div>
        <w:div w:id="1751613313">
          <w:marLeft w:val="0"/>
          <w:marRight w:val="0"/>
          <w:marTop w:val="0"/>
          <w:marBottom w:val="0"/>
          <w:divBdr>
            <w:top w:val="none" w:sz="0" w:space="0" w:color="auto"/>
            <w:left w:val="none" w:sz="0" w:space="0" w:color="auto"/>
            <w:bottom w:val="none" w:sz="0" w:space="0" w:color="auto"/>
            <w:right w:val="none" w:sz="0" w:space="0" w:color="auto"/>
          </w:divBdr>
          <w:divsChild>
            <w:div w:id="381953333">
              <w:marLeft w:val="0"/>
              <w:marRight w:val="0"/>
              <w:marTop w:val="0"/>
              <w:marBottom w:val="0"/>
              <w:divBdr>
                <w:top w:val="none" w:sz="0" w:space="0" w:color="auto"/>
                <w:left w:val="none" w:sz="0" w:space="0" w:color="auto"/>
                <w:bottom w:val="none" w:sz="0" w:space="0" w:color="auto"/>
                <w:right w:val="none" w:sz="0" w:space="0" w:color="auto"/>
              </w:divBdr>
              <w:divsChild>
                <w:div w:id="2100976320">
                  <w:marLeft w:val="0"/>
                  <w:marRight w:val="0"/>
                  <w:marTop w:val="0"/>
                  <w:marBottom w:val="0"/>
                  <w:divBdr>
                    <w:top w:val="none" w:sz="0" w:space="0" w:color="auto"/>
                    <w:left w:val="none" w:sz="0" w:space="0" w:color="auto"/>
                    <w:bottom w:val="none" w:sz="0" w:space="0" w:color="auto"/>
                    <w:right w:val="none" w:sz="0" w:space="0" w:color="auto"/>
                  </w:divBdr>
                  <w:divsChild>
                    <w:div w:id="1319190853">
                      <w:marLeft w:val="0"/>
                      <w:marRight w:val="0"/>
                      <w:marTop w:val="0"/>
                      <w:marBottom w:val="0"/>
                      <w:divBdr>
                        <w:top w:val="none" w:sz="0" w:space="0" w:color="auto"/>
                        <w:left w:val="none" w:sz="0" w:space="0" w:color="auto"/>
                        <w:bottom w:val="none" w:sz="0" w:space="0" w:color="auto"/>
                        <w:right w:val="none" w:sz="0" w:space="0" w:color="auto"/>
                      </w:divBdr>
                      <w:divsChild>
                        <w:div w:id="294485670">
                          <w:marLeft w:val="0"/>
                          <w:marRight w:val="0"/>
                          <w:marTop w:val="0"/>
                          <w:marBottom w:val="0"/>
                          <w:divBdr>
                            <w:top w:val="none" w:sz="0" w:space="0" w:color="auto"/>
                            <w:left w:val="none" w:sz="0" w:space="0" w:color="auto"/>
                            <w:bottom w:val="none" w:sz="0" w:space="0" w:color="auto"/>
                            <w:right w:val="none" w:sz="0" w:space="0" w:color="auto"/>
                          </w:divBdr>
                          <w:divsChild>
                            <w:div w:id="1751583378">
                              <w:marLeft w:val="0"/>
                              <w:marRight w:val="0"/>
                              <w:marTop w:val="0"/>
                              <w:marBottom w:val="0"/>
                              <w:divBdr>
                                <w:top w:val="none" w:sz="0" w:space="0" w:color="auto"/>
                                <w:left w:val="none" w:sz="0" w:space="0" w:color="auto"/>
                                <w:bottom w:val="none" w:sz="0" w:space="0" w:color="auto"/>
                                <w:right w:val="none" w:sz="0" w:space="0" w:color="auto"/>
                              </w:divBdr>
                              <w:divsChild>
                                <w:div w:id="1235239616">
                                  <w:marLeft w:val="0"/>
                                  <w:marRight w:val="0"/>
                                  <w:marTop w:val="0"/>
                                  <w:marBottom w:val="0"/>
                                  <w:divBdr>
                                    <w:top w:val="none" w:sz="0" w:space="0" w:color="auto"/>
                                    <w:left w:val="none" w:sz="0" w:space="0" w:color="auto"/>
                                    <w:bottom w:val="none" w:sz="0" w:space="0" w:color="auto"/>
                                    <w:right w:val="none" w:sz="0" w:space="0" w:color="auto"/>
                                  </w:divBdr>
                                  <w:divsChild>
                                    <w:div w:id="177651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9816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4</Pages>
  <Words>1074</Words>
  <Characters>6122</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19</cp:revision>
  <dcterms:created xsi:type="dcterms:W3CDTF">2020-11-27T13:13:00Z</dcterms:created>
  <dcterms:modified xsi:type="dcterms:W3CDTF">2020-11-28T23:20:00Z</dcterms:modified>
</cp:coreProperties>
</file>